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23612B">
        <w:rPr>
          <w:sz w:val="28"/>
          <w:szCs w:val="28"/>
        </w:rPr>
        <w:t>апреля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23612B">
        <w:rPr>
          <w:sz w:val="28"/>
          <w:szCs w:val="28"/>
        </w:rPr>
        <w:t>5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9A7FCE" w:rsidRDefault="0084550C" w:rsidP="009A7FCE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железобетонных опор </w:t>
      </w:r>
    </w:p>
    <w:p w:rsidR="00334027" w:rsidRPr="00334027" w:rsidRDefault="0084550C" w:rsidP="0084550C">
      <w:pPr>
        <w:snapToGrid w:val="0"/>
        <w:jc w:val="center"/>
        <w:rPr>
          <w:b/>
        </w:rPr>
      </w:pPr>
      <w:r>
        <w:rPr>
          <w:b/>
          <w:sz w:val="32"/>
          <w:szCs w:val="32"/>
        </w:rPr>
        <w:t>СВ-</w:t>
      </w:r>
      <w:r w:rsidR="0023612B">
        <w:rPr>
          <w:b/>
          <w:sz w:val="32"/>
          <w:szCs w:val="32"/>
        </w:rPr>
        <w:t>95</w:t>
      </w:r>
      <w:r>
        <w:rPr>
          <w:b/>
          <w:sz w:val="32"/>
          <w:szCs w:val="32"/>
        </w:rPr>
        <w:t>-</w:t>
      </w:r>
      <w:r w:rsidR="0023612B">
        <w:rPr>
          <w:b/>
          <w:sz w:val="32"/>
          <w:szCs w:val="32"/>
        </w:rPr>
        <w:t>3</w:t>
      </w:r>
      <w:r w:rsidR="009A7FC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9A7FCE" w:rsidRDefault="009A7FCE" w:rsidP="00334027">
      <w:pPr>
        <w:snapToGrid w:val="0"/>
        <w:rPr>
          <w:b/>
        </w:rPr>
      </w:pPr>
    </w:p>
    <w:p w:rsidR="009A7FCE" w:rsidRPr="00334027" w:rsidRDefault="009A7FCE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096946">
        <w:rPr>
          <w:b/>
          <w:sz w:val="28"/>
          <w:szCs w:val="28"/>
        </w:rPr>
        <w:t>5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 xml:space="preserve">ИЗВЕЩЕНИЕ О ПРОВЕДЕНИИ </w:t>
      </w:r>
      <w:r w:rsidR="009A7FCE">
        <w:t>ЗАПРОСА КОТИРОВОК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84550C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84550C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</w:t>
      </w:r>
      <w:r w:rsidR="0023612B">
        <w:rPr>
          <w:spacing w:val="-6"/>
        </w:rPr>
        <w:t>95</w:t>
      </w:r>
      <w:r w:rsidR="009A7FCE" w:rsidRPr="009A7FCE">
        <w:rPr>
          <w:spacing w:val="-6"/>
        </w:rPr>
        <w:t>-</w:t>
      </w:r>
      <w:r w:rsidR="0023612B">
        <w:rPr>
          <w:spacing w:val="-6"/>
        </w:rPr>
        <w:t>3</w:t>
      </w:r>
      <w:r w:rsidR="009A7FCE" w:rsidRPr="009A7FCE">
        <w:rPr>
          <w:spacing w:val="-6"/>
        </w:rPr>
        <w:t xml:space="preserve"> </w:t>
      </w:r>
      <w:r w:rsidR="0084550C" w:rsidRPr="0084550C">
        <w:rPr>
          <w:spacing w:val="-6"/>
        </w:rPr>
        <w:t>для ООО «ОЭСК»</w:t>
      </w:r>
    </w:p>
    <w:p w:rsidR="00B5314E" w:rsidRPr="00334027" w:rsidRDefault="00B5314E" w:rsidP="00B5314E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Заказчик: </w:t>
      </w:r>
      <w:r w:rsidRPr="00334027">
        <w:t xml:space="preserve">Общество с ограниченной ответственностью «ОЭСК»; </w:t>
      </w:r>
      <w:r w:rsidRPr="00334027">
        <w:rPr>
          <w:b/>
          <w:spacing w:val="-6"/>
        </w:rPr>
        <w:t xml:space="preserve">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</w:t>
      </w:r>
      <w:r w:rsidR="0023612B">
        <w:rPr>
          <w:spacing w:val="-6"/>
        </w:rPr>
        <w:t>95</w:t>
      </w:r>
      <w:r w:rsidR="009A7FCE" w:rsidRPr="009A7FCE">
        <w:rPr>
          <w:spacing w:val="-6"/>
        </w:rPr>
        <w:t>-</w:t>
      </w:r>
      <w:r w:rsidR="0023612B">
        <w:rPr>
          <w:spacing w:val="-6"/>
        </w:rPr>
        <w:t>3</w:t>
      </w:r>
      <w:r w:rsidR="004A7610">
        <w:rPr>
          <w:spacing w:val="-6"/>
        </w:rPr>
        <w:t xml:space="preserve"> </w:t>
      </w:r>
      <w:r w:rsidR="009A7FCE" w:rsidRPr="0084550C">
        <w:rPr>
          <w:spacing w:val="-6"/>
        </w:rPr>
        <w:t>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2134E0" w:rsidRPr="002134E0">
        <w:rPr>
          <w:b/>
        </w:rPr>
        <w:t>561 000,00 (пятьсот шестьдесят одна тысяча) рублей 00 копеек, с учетом НДС 20%</w:t>
      </w:r>
      <w:r w:rsidRPr="00F72239">
        <w:rPr>
          <w:b/>
        </w:rPr>
        <w:t>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096946">
        <w:rPr>
          <w:spacing w:val="-6"/>
        </w:rPr>
        <w:t>0</w:t>
      </w:r>
      <w:r w:rsidR="002134E0">
        <w:rPr>
          <w:spacing w:val="-6"/>
        </w:rPr>
        <w:t>1</w:t>
      </w:r>
      <w:r w:rsidRPr="00334027">
        <w:rPr>
          <w:spacing w:val="-6"/>
        </w:rPr>
        <w:t xml:space="preserve"> </w:t>
      </w:r>
      <w:r w:rsidR="00096946">
        <w:rPr>
          <w:spacing w:val="-6"/>
        </w:rPr>
        <w:t>апреля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096946">
        <w:rPr>
          <w:spacing w:val="-6"/>
        </w:rPr>
        <w:t>5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2134E0">
        <w:rPr>
          <w:spacing w:val="-6"/>
        </w:rPr>
        <w:t>09</w:t>
      </w:r>
      <w:r w:rsidRPr="00334027">
        <w:rPr>
          <w:spacing w:val="-6"/>
        </w:rPr>
        <w:t xml:space="preserve"> </w:t>
      </w:r>
      <w:r w:rsidR="00096946">
        <w:rPr>
          <w:spacing w:val="-6"/>
        </w:rPr>
        <w:t>апреля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096946">
        <w:rPr>
          <w:spacing w:val="-6"/>
        </w:rPr>
        <w:t>5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096946">
        <w:rPr>
          <w:spacing w:val="-6"/>
        </w:rPr>
        <w:t>0</w:t>
      </w:r>
      <w:r w:rsidR="002134E0">
        <w:rPr>
          <w:spacing w:val="-6"/>
        </w:rPr>
        <w:t>1</w:t>
      </w:r>
      <w:r w:rsidR="009D2C8D" w:rsidRPr="00334027">
        <w:rPr>
          <w:spacing w:val="-6"/>
        </w:rPr>
        <w:t xml:space="preserve"> </w:t>
      </w:r>
      <w:r w:rsidR="00096946">
        <w:rPr>
          <w:spacing w:val="-6"/>
        </w:rPr>
        <w:t>апре</w:t>
      </w:r>
      <w:r w:rsidR="004A7610">
        <w:rPr>
          <w:spacing w:val="-6"/>
        </w:rPr>
        <w:t>ля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096946">
        <w:rPr>
          <w:spacing w:val="-6"/>
        </w:rPr>
        <w:t>5</w:t>
      </w:r>
      <w:r w:rsidRPr="00334027">
        <w:rPr>
          <w:spacing w:val="-6"/>
        </w:rPr>
        <w:t xml:space="preserve"> г. до 17.00 (время местное) </w:t>
      </w:r>
      <w:r w:rsidR="00096946">
        <w:rPr>
          <w:spacing w:val="-6"/>
        </w:rPr>
        <w:t>07</w:t>
      </w:r>
      <w:r w:rsidR="009E6BB2">
        <w:rPr>
          <w:spacing w:val="-6"/>
        </w:rPr>
        <w:t xml:space="preserve"> </w:t>
      </w:r>
      <w:r w:rsidR="00096946">
        <w:rPr>
          <w:spacing w:val="-6"/>
        </w:rPr>
        <w:t>апре</w:t>
      </w:r>
      <w:r w:rsidR="004A7610">
        <w:rPr>
          <w:spacing w:val="-6"/>
        </w:rPr>
        <w:t>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096946">
        <w:rPr>
          <w:spacing w:val="-6"/>
        </w:rPr>
        <w:t>5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2134E0">
        <w:rPr>
          <w:spacing w:val="-6"/>
        </w:rPr>
        <w:t>09</w:t>
      </w:r>
      <w:r w:rsidR="004A7610">
        <w:rPr>
          <w:spacing w:val="-6"/>
        </w:rPr>
        <w:t xml:space="preserve"> </w:t>
      </w:r>
      <w:r w:rsidR="00096946">
        <w:rPr>
          <w:spacing w:val="-6"/>
        </w:rPr>
        <w:t>апре</w:t>
      </w:r>
      <w:r w:rsidR="00074CEB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</w:t>
      </w:r>
      <w:r w:rsidR="00096946">
        <w:rPr>
          <w:spacing w:val="-6"/>
        </w:rPr>
        <w:t>5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lastRenderedPageBreak/>
        <w:t xml:space="preserve">Дата начала рассмотрения заявок </w:t>
      </w:r>
      <w:r w:rsidR="002134E0">
        <w:rPr>
          <w:spacing w:val="-6"/>
        </w:rPr>
        <w:t>09</w:t>
      </w:r>
      <w:r w:rsidR="00096946">
        <w:rPr>
          <w:spacing w:val="-6"/>
        </w:rPr>
        <w:t xml:space="preserve"> апреля</w:t>
      </w:r>
      <w:r w:rsidR="00096946" w:rsidRPr="00334027">
        <w:rPr>
          <w:spacing w:val="-6"/>
        </w:rPr>
        <w:t xml:space="preserve"> 20</w:t>
      </w:r>
      <w:r w:rsidR="00096946">
        <w:rPr>
          <w:spacing w:val="-6"/>
        </w:rPr>
        <w:t>25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2134E0">
        <w:rPr>
          <w:spacing w:val="-6"/>
        </w:rPr>
        <w:t>09</w:t>
      </w:r>
      <w:r w:rsidR="00096946">
        <w:rPr>
          <w:spacing w:val="-6"/>
        </w:rPr>
        <w:t xml:space="preserve"> апреля</w:t>
      </w:r>
      <w:r w:rsidR="00096946" w:rsidRPr="00334027">
        <w:rPr>
          <w:spacing w:val="-6"/>
        </w:rPr>
        <w:t xml:space="preserve"> 20</w:t>
      </w:r>
      <w:r w:rsidR="00096946">
        <w:rPr>
          <w:spacing w:val="-6"/>
        </w:rPr>
        <w:t xml:space="preserve">25 </w:t>
      </w:r>
      <w:r w:rsidRPr="00334027">
        <w:t xml:space="preserve">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2134E0">
        <w:rPr>
          <w:spacing w:val="-6"/>
        </w:rPr>
        <w:t>09</w:t>
      </w:r>
      <w:r w:rsidR="00096946">
        <w:rPr>
          <w:spacing w:val="-6"/>
        </w:rPr>
        <w:t xml:space="preserve"> апреля</w:t>
      </w:r>
      <w:r w:rsidR="00096946" w:rsidRPr="00334027">
        <w:rPr>
          <w:spacing w:val="-6"/>
        </w:rPr>
        <w:t xml:space="preserve"> 20</w:t>
      </w:r>
      <w:r w:rsidR="00096946">
        <w:rPr>
          <w:spacing w:val="-6"/>
        </w:rPr>
        <w:t xml:space="preserve">25 </w:t>
      </w:r>
      <w:r w:rsidRPr="00334027">
        <w:t>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2134E0">
        <w:rPr>
          <w:spacing w:val="-6"/>
        </w:rPr>
        <w:t>09</w:t>
      </w:r>
      <w:r w:rsidR="00096946">
        <w:rPr>
          <w:spacing w:val="-6"/>
        </w:rPr>
        <w:t xml:space="preserve"> апреля</w:t>
      </w:r>
      <w:r w:rsidR="00096946" w:rsidRPr="00334027">
        <w:rPr>
          <w:spacing w:val="-6"/>
        </w:rPr>
        <w:t xml:space="preserve"> 20</w:t>
      </w:r>
      <w:r w:rsidR="00096946">
        <w:rPr>
          <w:spacing w:val="-6"/>
        </w:rPr>
        <w:t xml:space="preserve">25 </w:t>
      </w:r>
      <w:r w:rsidRPr="00334027">
        <w:t>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7A1528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36" w:rsidRPr="00DD697D" w:rsidRDefault="00E56436" w:rsidP="00E56436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9A7FCE" w:rsidRPr="0084550C">
              <w:rPr>
                <w:spacing w:val="-6"/>
              </w:rPr>
              <w:t xml:space="preserve">на поставку железобетонных опор </w:t>
            </w:r>
            <w:r w:rsidR="009A7FCE" w:rsidRPr="009A7FCE">
              <w:rPr>
                <w:spacing w:val="-6"/>
              </w:rPr>
              <w:t>СВ-</w:t>
            </w:r>
            <w:r w:rsidR="00096946">
              <w:rPr>
                <w:spacing w:val="-6"/>
              </w:rPr>
              <w:t>95</w:t>
            </w:r>
            <w:r w:rsidR="004A7610">
              <w:rPr>
                <w:spacing w:val="-6"/>
              </w:rPr>
              <w:t>-</w:t>
            </w:r>
            <w:r w:rsidR="00096946">
              <w:rPr>
                <w:spacing w:val="-6"/>
              </w:rPr>
              <w:t>3</w:t>
            </w:r>
            <w:r w:rsidR="009A7FCE" w:rsidRPr="009A7FCE">
              <w:rPr>
                <w:spacing w:val="-6"/>
              </w:rPr>
              <w:t xml:space="preserve"> </w:t>
            </w:r>
            <w:r w:rsidR="009A7FCE" w:rsidRPr="0084550C">
              <w:rPr>
                <w:spacing w:val="-6"/>
              </w:rPr>
              <w:t>для ООО «ОЭСК»</w:t>
            </w:r>
          </w:p>
          <w:p w:rsidR="00B5314E" w:rsidRPr="0099353A" w:rsidRDefault="00B5314E" w:rsidP="00B5314E">
            <w:pPr>
              <w:widowControl w:val="0"/>
              <w:spacing w:after="0"/>
              <w:rPr>
                <w:b/>
                <w:spacing w:val="-6"/>
              </w:rPr>
            </w:pP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2134E0" w:rsidP="002134E0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561</w:t>
            </w:r>
            <w:r w:rsidR="009A7FCE">
              <w:rPr>
                <w:sz w:val="24"/>
                <w:szCs w:val="24"/>
              </w:rPr>
              <w:t xml:space="preserve"> 000</w:t>
            </w:r>
            <w:r w:rsidR="00D9310A" w:rsidRPr="00D9310A">
              <w:rPr>
                <w:sz w:val="24"/>
                <w:szCs w:val="24"/>
              </w:rPr>
              <w:t>,00 (</w:t>
            </w:r>
            <w:r>
              <w:rPr>
                <w:sz w:val="24"/>
                <w:szCs w:val="24"/>
              </w:rPr>
              <w:t>пятьсот шестьдесят одна тысяча</w:t>
            </w:r>
            <w:r w:rsidR="00D9310A" w:rsidRPr="00D9310A">
              <w:rPr>
                <w:sz w:val="24"/>
                <w:szCs w:val="24"/>
              </w:rPr>
              <w:t>) рублей 00 копеек, с учетом НДС 20%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096946">
              <w:t>0</w:t>
            </w:r>
            <w:r w:rsidR="002134E0">
              <w:t>1</w:t>
            </w:r>
            <w:r w:rsidRPr="00082A08">
              <w:t xml:space="preserve">» </w:t>
            </w:r>
            <w:r w:rsidR="00096946">
              <w:t>апрел</w:t>
            </w:r>
            <w:r w:rsidR="004A7610">
              <w:t>я</w:t>
            </w:r>
            <w:r w:rsidRPr="00082A08">
              <w:t xml:space="preserve"> 20</w:t>
            </w:r>
            <w:r>
              <w:t>2</w:t>
            </w:r>
            <w:r w:rsidR="00096946">
              <w:t>5</w:t>
            </w:r>
            <w:r w:rsidRPr="00082A08">
              <w:t xml:space="preserve"> года.</w:t>
            </w:r>
          </w:p>
          <w:p w:rsidR="00B5314E" w:rsidRPr="00082A08" w:rsidRDefault="00B5314E" w:rsidP="00096946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096946">
              <w:rPr>
                <w:lang w:eastAsia="ar-SA"/>
              </w:rPr>
              <w:t>07</w:t>
            </w:r>
            <w:r w:rsidRPr="00082A08">
              <w:rPr>
                <w:lang w:eastAsia="ar-SA"/>
              </w:rPr>
              <w:t xml:space="preserve">»  </w:t>
            </w:r>
            <w:r w:rsidR="00096946">
              <w:rPr>
                <w:lang w:eastAsia="ar-SA"/>
              </w:rPr>
              <w:t>апре</w:t>
            </w:r>
            <w:r w:rsidR="004A7610">
              <w:rPr>
                <w:lang w:eastAsia="ar-SA"/>
              </w:rPr>
              <w:t>ля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096946">
              <w:rPr>
                <w:lang w:eastAsia="ar-SA"/>
              </w:rPr>
              <w:t>5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2134E0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096946">
              <w:t>0</w:t>
            </w:r>
            <w:r w:rsidR="002134E0">
              <w:t>1</w:t>
            </w:r>
            <w:r w:rsidR="004A7610">
              <w:t xml:space="preserve"> </w:t>
            </w:r>
            <w:r w:rsidR="00096946">
              <w:t>апре</w:t>
            </w:r>
            <w:r w:rsidR="004A7610">
              <w:t>ля</w:t>
            </w:r>
            <w:r w:rsidRPr="003B23DF">
              <w:t xml:space="preserve"> 20</w:t>
            </w:r>
            <w:r>
              <w:t>2</w:t>
            </w:r>
            <w:r w:rsidR="00096946">
              <w:t>5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2134E0">
              <w:rPr>
                <w:spacing w:val="-6"/>
              </w:rPr>
              <w:t>09</w:t>
            </w:r>
            <w:r w:rsidR="00096946">
              <w:rPr>
                <w:spacing w:val="-6"/>
              </w:rPr>
              <w:t xml:space="preserve"> апреля</w:t>
            </w:r>
            <w:r w:rsidR="00096946" w:rsidRPr="00334027">
              <w:rPr>
                <w:spacing w:val="-6"/>
              </w:rPr>
              <w:t xml:space="preserve"> 20</w:t>
            </w:r>
            <w:r w:rsidR="00096946">
              <w:rPr>
                <w:spacing w:val="-6"/>
              </w:rPr>
              <w:t>25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r w:rsidRPr="00096946">
              <w:rPr>
                <w:b/>
                <w:bCs/>
              </w:rPr>
              <w:t xml:space="preserve">ИНН: </w:t>
            </w:r>
            <w:r w:rsidRPr="00096946">
              <w:rPr>
                <w:rStyle w:val="T2"/>
                <w:b/>
              </w:rPr>
              <w:t>4223052779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r w:rsidRPr="00096946">
              <w:rPr>
                <w:b/>
                <w:bCs/>
              </w:rPr>
              <w:t xml:space="preserve">КПП: </w:t>
            </w:r>
            <w:r w:rsidRPr="00096946">
              <w:rPr>
                <w:rStyle w:val="T2"/>
                <w:b/>
              </w:rPr>
              <w:t>422301001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r w:rsidRPr="00096946">
              <w:rPr>
                <w:b/>
                <w:bCs/>
              </w:rPr>
              <w:t xml:space="preserve">ОГРН: </w:t>
            </w:r>
            <w:r w:rsidRPr="00096946">
              <w:rPr>
                <w:rStyle w:val="T2"/>
                <w:b/>
              </w:rPr>
              <w:t>1094223000519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r w:rsidRPr="00096946">
              <w:rPr>
                <w:b/>
                <w:bCs/>
              </w:rPr>
              <w:t>Банковские реквизиты: Филиал «Новосиби</w:t>
            </w:r>
            <w:r w:rsidRPr="00096946">
              <w:rPr>
                <w:b/>
                <w:bCs/>
              </w:rPr>
              <w:t>р</w:t>
            </w:r>
            <w:r w:rsidRPr="00096946">
              <w:rPr>
                <w:b/>
                <w:bCs/>
              </w:rPr>
              <w:t>ский» АО «Альфа-Банк»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proofErr w:type="gramStart"/>
            <w:r w:rsidRPr="00096946">
              <w:rPr>
                <w:b/>
                <w:bCs/>
              </w:rPr>
              <w:t>р</w:t>
            </w:r>
            <w:proofErr w:type="gramEnd"/>
            <w:r w:rsidRPr="00096946">
              <w:rPr>
                <w:b/>
                <w:bCs/>
              </w:rPr>
              <w:t>/с 40702810123040001852</w:t>
            </w:r>
          </w:p>
          <w:p w:rsidR="00096946" w:rsidRPr="00096946" w:rsidRDefault="00096946" w:rsidP="00096946">
            <w:pPr>
              <w:rPr>
                <w:b/>
                <w:bCs/>
              </w:rPr>
            </w:pPr>
            <w:r w:rsidRPr="00096946">
              <w:rPr>
                <w:b/>
                <w:bCs/>
              </w:rPr>
              <w:t>к/с 30101810600000000774</w:t>
            </w:r>
          </w:p>
          <w:p w:rsidR="00096946" w:rsidRPr="00096946" w:rsidRDefault="00096946" w:rsidP="00096946">
            <w:pPr>
              <w:pStyle w:val="P3"/>
              <w:rPr>
                <w:rFonts w:eastAsia="Arial"/>
                <w:b/>
                <w:bCs/>
                <w:lang w:eastAsia="ar-SA"/>
              </w:rPr>
            </w:pPr>
            <w:r w:rsidRPr="00096946">
              <w:rPr>
                <w:rFonts w:eastAsia="Arial"/>
                <w:b/>
                <w:bCs/>
                <w:lang w:eastAsia="ar-SA"/>
              </w:rPr>
              <w:t>БИК 045004774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lastRenderedPageBreak/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2134E0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2134E0">
              <w:rPr>
                <w:sz w:val="24"/>
                <w:szCs w:val="24"/>
              </w:rPr>
              <w:t>09</w:t>
            </w:r>
            <w:r w:rsidR="00074CEB" w:rsidRPr="00021025">
              <w:rPr>
                <w:sz w:val="24"/>
                <w:szCs w:val="24"/>
              </w:rPr>
              <w:t xml:space="preserve"> </w:t>
            </w:r>
            <w:r w:rsidR="00096946">
              <w:rPr>
                <w:sz w:val="24"/>
                <w:szCs w:val="24"/>
              </w:rPr>
              <w:t>апре</w:t>
            </w:r>
            <w:r w:rsidR="00074CEB" w:rsidRPr="00021025">
              <w:rPr>
                <w:sz w:val="24"/>
                <w:szCs w:val="24"/>
              </w:rPr>
              <w:t>ля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096946">
              <w:rPr>
                <w:sz w:val="24"/>
                <w:szCs w:val="24"/>
              </w:rPr>
              <w:t>5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Дата начала рассмотрения заявок </w:t>
            </w:r>
            <w:r w:rsidR="002134E0">
              <w:rPr>
                <w:spacing w:val="-6"/>
              </w:rPr>
              <w:t>09</w:t>
            </w:r>
            <w:r w:rsidR="00096946">
              <w:rPr>
                <w:spacing w:val="-6"/>
              </w:rPr>
              <w:t xml:space="preserve"> апре</w:t>
            </w:r>
            <w:r w:rsidR="00074CEB">
              <w:rPr>
                <w:spacing w:val="-6"/>
              </w:rPr>
              <w:t>ля</w:t>
            </w:r>
            <w:r w:rsidRPr="003B23DF">
              <w:t xml:space="preserve"> 20</w:t>
            </w:r>
            <w:r>
              <w:t>2</w:t>
            </w:r>
            <w:r w:rsidR="00096946">
              <w:t>5</w:t>
            </w:r>
            <w:r w:rsidRPr="003B23DF">
              <w:t xml:space="preserve"> г.</w:t>
            </w:r>
          </w:p>
          <w:p w:rsidR="00B5314E" w:rsidRPr="003B23DF" w:rsidRDefault="00B5314E" w:rsidP="002134E0">
            <w:pPr>
              <w:spacing w:after="0"/>
              <w:ind w:right="57"/>
            </w:pPr>
            <w:r w:rsidRPr="003B23DF">
              <w:t xml:space="preserve">Дата окончания рассмотрения заявок: </w:t>
            </w:r>
            <w:r w:rsidR="002134E0">
              <w:rPr>
                <w:spacing w:val="-6"/>
              </w:rPr>
              <w:t>09</w:t>
            </w:r>
            <w:r w:rsidR="00096946">
              <w:rPr>
                <w:spacing w:val="-6"/>
              </w:rPr>
              <w:t xml:space="preserve"> апре</w:t>
            </w:r>
            <w:r w:rsidR="00074CEB">
              <w:rPr>
                <w:spacing w:val="-6"/>
              </w:rPr>
              <w:t>ля</w:t>
            </w:r>
            <w:r w:rsidRPr="003B23DF">
              <w:t xml:space="preserve"> 20</w:t>
            </w:r>
            <w:r>
              <w:t>2</w:t>
            </w:r>
            <w:r w:rsidR="00096946">
              <w:t>5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6.9.4.3. несоответствия конкурсной заявки </w:t>
            </w:r>
            <w:r w:rsidRPr="000A574C">
              <w:lastRenderedPageBreak/>
              <w:t>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lastRenderedPageBreak/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2134E0">
              <w:rPr>
                <w:spacing w:val="-6"/>
              </w:rPr>
              <w:t>09</w:t>
            </w:r>
            <w:r w:rsidR="00096946">
              <w:rPr>
                <w:spacing w:val="-6"/>
              </w:rPr>
              <w:t xml:space="preserve"> апр</w:t>
            </w:r>
            <w:r w:rsidR="00096946">
              <w:rPr>
                <w:spacing w:val="-6"/>
              </w:rPr>
              <w:t>е</w:t>
            </w:r>
            <w:r w:rsidR="00074CEB">
              <w:rPr>
                <w:spacing w:val="-6"/>
              </w:rPr>
              <w:lastRenderedPageBreak/>
              <w:t>ля</w:t>
            </w:r>
            <w:r w:rsidRPr="00334027">
              <w:t xml:space="preserve"> 20</w:t>
            </w:r>
            <w:r>
              <w:t>2</w:t>
            </w:r>
            <w:r w:rsidR="00096946">
              <w:t>5</w:t>
            </w:r>
            <w:r w:rsidRPr="00334027">
              <w:t xml:space="preserve"> г.</w:t>
            </w:r>
          </w:p>
          <w:p w:rsidR="00B5314E" w:rsidRPr="00062289" w:rsidRDefault="00B5314E" w:rsidP="002134E0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2134E0">
              <w:rPr>
                <w:spacing w:val="-6"/>
              </w:rPr>
              <w:t>09</w:t>
            </w:r>
            <w:r w:rsidR="00096946">
              <w:rPr>
                <w:spacing w:val="-6"/>
              </w:rPr>
              <w:t xml:space="preserve"> апре</w:t>
            </w:r>
            <w:r w:rsidR="00074CEB">
              <w:rPr>
                <w:spacing w:val="-6"/>
              </w:rPr>
              <w:t>ля</w:t>
            </w:r>
            <w:r w:rsidR="00E56436" w:rsidRPr="00334027">
              <w:t xml:space="preserve"> 20</w:t>
            </w:r>
            <w:r w:rsidR="00E56436">
              <w:t>2</w:t>
            </w:r>
            <w:r w:rsidR="00096946">
              <w:t>5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9E6BB2" w:rsidRDefault="009E6BB2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72AEE548" wp14:editId="3A9EEA33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7D8B87B5" wp14:editId="6CE21B25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393845F7" wp14:editId="3EE0E162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54333F79" wp14:editId="4D16DAC0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D2570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D2570">
        <w:rPr>
          <w:i/>
          <w:sz w:val="28"/>
          <w:szCs w:val="28"/>
          <w:lang w:val="en-US"/>
        </w:rPr>
        <w:t xml:space="preserve">  =</w:t>
      </w:r>
      <w:proofErr w:type="gramEnd"/>
      <w:r w:rsidRPr="009D2570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9D2570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9D2570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9D2570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D2570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9D2C8D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Наличие сертификатов на товар </w:t>
            </w:r>
            <w:r w:rsidRPr="00215B60">
              <w:rPr>
                <w:rFonts w:ascii="Times New Roman" w:hAnsi="Times New Roman" w:cs="Times New Roman"/>
                <w:bCs/>
              </w:rPr>
              <w:t>(бетон и арматуру) и сертификат лабораторного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9D2570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D2570">
        <w:rPr>
          <w:i/>
          <w:sz w:val="28"/>
          <w:szCs w:val="28"/>
          <w:lang w:val="en-US"/>
        </w:rPr>
        <w:t xml:space="preserve">  =</w:t>
      </w:r>
      <w:proofErr w:type="gramEnd"/>
      <w:r w:rsidRPr="009D2570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9D2570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9D2570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9D2570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D2570">
        <w:rPr>
          <w:i/>
          <w:sz w:val="28"/>
          <w:szCs w:val="28"/>
          <w:lang w:val="en-US"/>
        </w:rPr>
        <w:t>,</w:t>
      </w:r>
    </w:p>
    <w:p w:rsidR="004B120C" w:rsidRPr="009D2570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2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2"/>
    </w:p>
    <w:p w:rsidR="004B120C" w:rsidRPr="007A22B1" w:rsidRDefault="004B120C" w:rsidP="004B120C">
      <w:pPr>
        <w:pStyle w:val="2"/>
      </w:pPr>
      <w:r w:rsidRPr="007A22B1">
        <w:br/>
      </w:r>
      <w:bookmarkStart w:id="23" w:name="_Toc122404100"/>
      <w:bookmarkStart w:id="24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3"/>
      <w:bookmarkEnd w:id="24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5" w:name="_Toc119343910"/>
      <w:r w:rsidRPr="00034807">
        <w:rPr>
          <w:b/>
        </w:rPr>
        <w:t>ОПИСЬ ДОКУМЕНТОВ,</w:t>
      </w:r>
      <w:bookmarkEnd w:id="25"/>
    </w:p>
    <w:p w:rsidR="00157B61" w:rsidRPr="009A7FCE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9A7FCE" w:rsidRPr="009A7FCE">
        <w:rPr>
          <w:b/>
          <w:i/>
        </w:rPr>
        <w:t>на поставку железобетонных опор СВ-</w:t>
      </w:r>
      <w:r w:rsidR="00096946">
        <w:rPr>
          <w:b/>
          <w:i/>
        </w:rPr>
        <w:t>95</w:t>
      </w:r>
      <w:r w:rsidR="004A7610">
        <w:rPr>
          <w:b/>
          <w:i/>
        </w:rPr>
        <w:t>-</w:t>
      </w:r>
      <w:r w:rsidR="00096946">
        <w:rPr>
          <w:b/>
          <w:i/>
        </w:rPr>
        <w:t>3</w:t>
      </w:r>
      <w:r w:rsidR="009A7FCE" w:rsidRPr="009A7FCE">
        <w:rPr>
          <w:b/>
          <w:i/>
        </w:rPr>
        <w:t xml:space="preserve"> 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6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7" w:name="_Toc435008336"/>
      <w:r>
        <w:lastRenderedPageBreak/>
        <w:t>1</w:t>
      </w:r>
      <w:r w:rsidRPr="007A22B1">
        <w:t xml:space="preserve">.4.2 ФОРМА ЗАЯВКИ НА УЧАСТИЕ В </w:t>
      </w:r>
      <w:bookmarkEnd w:id="26"/>
      <w:bookmarkEnd w:id="27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9A7FCE" w:rsidRPr="009A7FCE">
        <w:rPr>
          <w:i/>
        </w:rPr>
        <w:t>на поставку железобетонных опор СВ-</w:t>
      </w:r>
      <w:r w:rsidR="00096946">
        <w:rPr>
          <w:i/>
        </w:rPr>
        <w:t>95</w:t>
      </w:r>
      <w:r w:rsidR="004A7610">
        <w:rPr>
          <w:i/>
        </w:rPr>
        <w:t>-</w:t>
      </w:r>
      <w:r w:rsidR="00096946">
        <w:rPr>
          <w:i/>
        </w:rPr>
        <w:t>3</w:t>
      </w:r>
      <w:r w:rsidR="009A7FCE" w:rsidRPr="009A7FCE">
        <w:rPr>
          <w:i/>
        </w:rPr>
        <w:t xml:space="preserve"> для ООО «ОЭСК»</w:t>
      </w:r>
      <w:r w:rsidR="009A7FCE"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</w:t>
      </w:r>
      <w:r w:rsidR="00096946">
        <w:rPr>
          <w:spacing w:val="-6"/>
        </w:rPr>
        <w:t>95</w:t>
      </w:r>
      <w:r w:rsidR="004A7610">
        <w:rPr>
          <w:spacing w:val="-6"/>
        </w:rPr>
        <w:t>-</w:t>
      </w:r>
      <w:r w:rsidR="00096946">
        <w:rPr>
          <w:spacing w:val="-6"/>
        </w:rPr>
        <w:t>3</w:t>
      </w:r>
      <w:r w:rsidR="009A7FCE" w:rsidRPr="0084550C">
        <w:rPr>
          <w:spacing w:val="-6"/>
        </w:rPr>
        <w:t xml:space="preserve">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8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29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29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0" w:name="_Toc435008338"/>
      <w:bookmarkEnd w:id="28"/>
      <w:r w:rsidRPr="00997A2F">
        <w:rPr>
          <w:sz w:val="22"/>
          <w:szCs w:val="22"/>
        </w:rPr>
        <w:lastRenderedPageBreak/>
        <w:t xml:space="preserve">1.4.2.2. ФОРМА </w:t>
      </w:r>
      <w:bookmarkEnd w:id="30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</w:t>
      </w:r>
      <w:r w:rsidR="00096946">
        <w:rPr>
          <w:spacing w:val="-6"/>
        </w:rPr>
        <w:t>95</w:t>
      </w:r>
      <w:r w:rsidR="004A7610">
        <w:rPr>
          <w:spacing w:val="-6"/>
        </w:rPr>
        <w:t>-</w:t>
      </w:r>
      <w:r w:rsidR="00096946">
        <w:rPr>
          <w:spacing w:val="-6"/>
        </w:rPr>
        <w:t>3</w:t>
      </w:r>
      <w:r w:rsidR="009A7FCE" w:rsidRPr="009A7FCE">
        <w:rPr>
          <w:spacing w:val="-6"/>
        </w:rPr>
        <w:t xml:space="preserve"> </w:t>
      </w:r>
      <w:r w:rsidR="009A7FCE" w:rsidRPr="0084550C">
        <w:rPr>
          <w:spacing w:val="-6"/>
        </w:rPr>
        <w:t>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9A7FCE" w:rsidRPr="0084550C">
        <w:rPr>
          <w:spacing w:val="-6"/>
        </w:rPr>
        <w:t xml:space="preserve">на поставку железобетонных опор </w:t>
      </w:r>
      <w:r w:rsidR="009A7FCE" w:rsidRPr="009A7FCE">
        <w:rPr>
          <w:spacing w:val="-6"/>
        </w:rPr>
        <w:t>СВ-</w:t>
      </w:r>
      <w:r w:rsidR="00096946">
        <w:rPr>
          <w:spacing w:val="-6"/>
        </w:rPr>
        <w:t>95</w:t>
      </w:r>
      <w:r w:rsidR="004A7610">
        <w:rPr>
          <w:spacing w:val="-6"/>
        </w:rPr>
        <w:t>-</w:t>
      </w:r>
      <w:r w:rsidR="00096946">
        <w:rPr>
          <w:spacing w:val="-6"/>
        </w:rPr>
        <w:t>3</w:t>
      </w:r>
      <w:r w:rsidR="009A7FCE" w:rsidRPr="009A7FCE">
        <w:rPr>
          <w:spacing w:val="-6"/>
        </w:rPr>
        <w:t xml:space="preserve"> </w:t>
      </w:r>
      <w:r w:rsidR="009A7FCE" w:rsidRPr="0084550C">
        <w:rPr>
          <w:spacing w:val="-6"/>
        </w:rPr>
        <w:t>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9A7FCE" w:rsidRPr="009A7FCE">
        <w:rPr>
          <w:i/>
          <w:sz w:val="22"/>
          <w:szCs w:val="22"/>
          <w:u w:val="single"/>
        </w:rPr>
        <w:t>на поставку железоб</w:t>
      </w:r>
      <w:r w:rsidR="009A7FCE" w:rsidRPr="009A7FCE">
        <w:rPr>
          <w:i/>
          <w:sz w:val="22"/>
          <w:szCs w:val="22"/>
          <w:u w:val="single"/>
        </w:rPr>
        <w:t>е</w:t>
      </w:r>
      <w:r w:rsidR="009A7FCE" w:rsidRPr="009A7FCE">
        <w:rPr>
          <w:i/>
          <w:sz w:val="22"/>
          <w:szCs w:val="22"/>
          <w:u w:val="single"/>
        </w:rPr>
        <w:t>тонных опор СВ-</w:t>
      </w:r>
      <w:r w:rsidR="00096946">
        <w:rPr>
          <w:i/>
          <w:sz w:val="22"/>
          <w:szCs w:val="22"/>
          <w:u w:val="single"/>
        </w:rPr>
        <w:t>95</w:t>
      </w:r>
      <w:r w:rsidR="004A7610">
        <w:rPr>
          <w:i/>
          <w:sz w:val="22"/>
          <w:szCs w:val="22"/>
          <w:u w:val="single"/>
        </w:rPr>
        <w:t>-</w:t>
      </w:r>
      <w:r w:rsidR="00096946">
        <w:rPr>
          <w:i/>
          <w:sz w:val="22"/>
          <w:szCs w:val="22"/>
          <w:u w:val="single"/>
        </w:rPr>
        <w:t>3</w:t>
      </w:r>
      <w:r w:rsidR="009A7FCE" w:rsidRPr="009A7FCE">
        <w:rPr>
          <w:i/>
          <w:sz w:val="22"/>
          <w:szCs w:val="22"/>
          <w:u w:val="single"/>
        </w:rPr>
        <w:t xml:space="preserve">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1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1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(бетон и арматуру) и сертификат л</w:t>
      </w:r>
      <w:r>
        <w:rPr>
          <w:b/>
          <w:bCs/>
        </w:rPr>
        <w:t>а</w:t>
      </w:r>
      <w:r>
        <w:rPr>
          <w:b/>
          <w:bCs/>
        </w:rPr>
        <w:t>бораторного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2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2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3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4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4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5" w:name="_Toc435008348"/>
      <w:bookmarkEnd w:id="33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5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6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6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7" w:name="_ЧАСТЬ_II._ПРОЕКТ_ГОСУДАРСТВЕННОГО_К"/>
      <w:bookmarkStart w:id="38" w:name="_Toc122404110"/>
      <w:bookmarkStart w:id="39" w:name="_Toc435008352"/>
      <w:bookmarkEnd w:id="37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8"/>
      <w:r w:rsidRPr="00966CBB">
        <w:rPr>
          <w:b/>
        </w:rPr>
        <w:t>ДОГОВОРА</w:t>
      </w:r>
      <w:bookmarkEnd w:id="39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193879049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474C08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>Генерального  директора Фом</w:t>
      </w:r>
      <w:r w:rsidRPr="0036206E">
        <w:rPr>
          <w:rFonts w:ascii="Times New Roman" w:hAnsi="Times New Roman"/>
          <w:b w:val="0"/>
          <w:sz w:val="22"/>
        </w:rPr>
        <w:t>и</w:t>
      </w:r>
      <w:r w:rsidRPr="0036206E">
        <w:rPr>
          <w:rFonts w:ascii="Times New Roman" w:hAnsi="Times New Roman"/>
          <w:b w:val="0"/>
          <w:sz w:val="22"/>
        </w:rPr>
        <w:t xml:space="preserve">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________________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157B61" w:rsidRPr="00474C08" w:rsidRDefault="00157B61" w:rsidP="00157B61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157B61" w:rsidRPr="00474C08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157B61" w:rsidRPr="0036206E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Железобетонные стойки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Ж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лезобетонные стойки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№__</w:t>
      </w:r>
      <w:r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bookmarkEnd w:id="40"/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</w:t>
      </w:r>
      <w:r w:rsidRPr="0036206E">
        <w:rPr>
          <w:b/>
          <w:sz w:val="22"/>
          <w:szCs w:val="22"/>
        </w:rPr>
        <w:t xml:space="preserve"> с НДС</w:t>
      </w:r>
      <w:proofErr w:type="gramStart"/>
      <w:r w:rsidRPr="0036206E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______________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proofErr w:type="gramEnd"/>
      <w:r>
        <w:rPr>
          <w:b/>
          <w:sz w:val="22"/>
          <w:szCs w:val="22"/>
        </w:rPr>
        <w:t>рубль _____ копеек с НДС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</w:t>
      </w:r>
      <w:r w:rsidRPr="0036206E">
        <w:rPr>
          <w:sz w:val="22"/>
          <w:szCs w:val="22"/>
        </w:rPr>
        <w:t>а</w:t>
      </w:r>
      <w:r w:rsidRPr="0036206E">
        <w:rPr>
          <w:sz w:val="22"/>
          <w:szCs w:val="22"/>
        </w:rPr>
        <w:t xml:space="preserve">ции.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 xml:space="preserve">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</w:t>
      </w:r>
      <w:r w:rsidR="00096946">
        <w:rPr>
          <w:sz w:val="22"/>
          <w:szCs w:val="22"/>
        </w:rPr>
        <w:t>5</w:t>
      </w:r>
      <w:r>
        <w:rPr>
          <w:sz w:val="22"/>
          <w:szCs w:val="22"/>
        </w:rPr>
        <w:t xml:space="preserve">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</w:t>
      </w:r>
      <w:r w:rsidRPr="0036206E">
        <w:rPr>
          <w:sz w:val="22"/>
          <w:szCs w:val="22"/>
        </w:rPr>
        <w:t>н</w:t>
      </w:r>
      <w:r w:rsidRPr="0036206E">
        <w:rPr>
          <w:sz w:val="22"/>
          <w:szCs w:val="22"/>
        </w:rPr>
        <w:t xml:space="preserve">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lastRenderedPageBreak/>
        <w:t>В случае просрочки поставки товара, Поставщик уплачивает Покупателю пени в размере 0,1% (о</w:t>
      </w:r>
      <w:r w:rsidRPr="0036206E">
        <w:rPr>
          <w:color w:val="000000"/>
          <w:sz w:val="22"/>
          <w:szCs w:val="22"/>
        </w:rPr>
        <w:t>д</w:t>
      </w:r>
      <w:r w:rsidRPr="0036206E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36206E">
        <w:rPr>
          <w:color w:val="000000"/>
          <w:sz w:val="22"/>
          <w:szCs w:val="22"/>
        </w:rPr>
        <w:t>и</w:t>
      </w:r>
      <w:r w:rsidRPr="0036206E">
        <w:rPr>
          <w:color w:val="000000"/>
          <w:sz w:val="22"/>
          <w:szCs w:val="22"/>
        </w:rPr>
        <w:t>мости неоплаченного товара.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>шаются, по возможности, путем переговоров между сторонами.</w:t>
      </w:r>
    </w:p>
    <w:p w:rsidR="00157B61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</w:t>
      </w:r>
      <w:r w:rsidRPr="0036206E">
        <w:rPr>
          <w:sz w:val="22"/>
          <w:szCs w:val="22"/>
        </w:rPr>
        <w:t>л</w:t>
      </w:r>
      <w:r w:rsidRPr="0036206E">
        <w:rPr>
          <w:sz w:val="22"/>
          <w:szCs w:val="22"/>
        </w:rPr>
        <w:t>нения, нарушения, прекращения или действительности, подлежат разрешению в соответствии с де</w:t>
      </w:r>
      <w:r w:rsidRPr="0036206E">
        <w:rPr>
          <w:sz w:val="22"/>
          <w:szCs w:val="22"/>
        </w:rPr>
        <w:t>й</w:t>
      </w:r>
      <w:r w:rsidRPr="0036206E">
        <w:rPr>
          <w:sz w:val="22"/>
          <w:szCs w:val="22"/>
        </w:rPr>
        <w:t>ствующим законодательством.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</w:t>
      </w:r>
      <w:proofErr w:type="gramStart"/>
      <w:r w:rsidRPr="00174CE2">
        <w:rPr>
          <w:sz w:val="22"/>
          <w:szCs w:val="22"/>
        </w:rPr>
        <w:t xml:space="preserve"> К</w:t>
      </w:r>
      <w:proofErr w:type="gramEnd"/>
      <w:r w:rsidRPr="00174CE2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</w:t>
      </w:r>
      <w:proofErr w:type="gramStart"/>
      <w:r w:rsidRPr="00174CE2">
        <w:rPr>
          <w:sz w:val="22"/>
          <w:szCs w:val="22"/>
        </w:rPr>
        <w:t>образом</w:t>
      </w:r>
      <w:proofErr w:type="gramEnd"/>
      <w:r w:rsidRPr="00174CE2"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ключения  и исполнения 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ной, не подлежит лицензированию;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тельств, вытекающих из настоящего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вам и обязательствам перед третьими лицами;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ных, на инициировании процедуры банкротства;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proofErr w:type="gramStart"/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174CE2">
        <w:rPr>
          <w:sz w:val="22"/>
          <w:szCs w:val="22"/>
        </w:rPr>
        <w:t xml:space="preserve"> ущерб интересам представля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мой Стороны;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174CE2">
        <w:rPr>
          <w:sz w:val="22"/>
          <w:szCs w:val="22"/>
        </w:rPr>
        <w:t>ей</w:t>
      </w:r>
      <w:proofErr w:type="gramEnd"/>
      <w:r w:rsidRPr="00174CE2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</w:t>
      </w:r>
      <w:r w:rsidR="009A7FCE">
        <w:rPr>
          <w:sz w:val="22"/>
          <w:szCs w:val="22"/>
        </w:rPr>
        <w:t xml:space="preserve"> </w:t>
      </w:r>
      <w:r w:rsidRPr="00174CE2">
        <w:rPr>
          <w:sz w:val="22"/>
          <w:szCs w:val="22"/>
        </w:rPr>
        <w:t>либо требования в связи с таким нарушением;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174CE2">
        <w:rPr>
          <w:sz w:val="22"/>
          <w:szCs w:val="22"/>
        </w:rPr>
        <w:t>л</w:t>
      </w:r>
      <w:r w:rsidRPr="00174CE2">
        <w:rPr>
          <w:sz w:val="22"/>
          <w:szCs w:val="22"/>
        </w:rPr>
        <w:t>нение установленных им обязательств;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тельном порядке;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</w:t>
      </w:r>
      <w:r w:rsidRPr="00931394">
        <w:rPr>
          <w:rFonts w:ascii="Times New Roman" w:eastAsia="Times New Roman" w:hAnsi="Times New Roman"/>
          <w:lang w:eastAsia="ru-RU"/>
        </w:rPr>
        <w:lastRenderedPageBreak/>
        <w:t>В случае недостоверности данных заверений, Стороны несут ответственность в порядке статьи 431.2 ГК РФ.</w:t>
      </w:r>
    </w:p>
    <w:p w:rsidR="00157B61" w:rsidRPr="00174CE2" w:rsidRDefault="00157B61" w:rsidP="00157B61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>Поставщик в силу статьи 406.1 ГК РФ обязуется возместить имущественные потери Покупателя,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никшие в случае наступления любого из следующих обстоятельств: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174CE2">
        <w:rPr>
          <w:sz w:val="22"/>
          <w:szCs w:val="22"/>
        </w:rPr>
        <w:t>д</w:t>
      </w:r>
      <w:r w:rsidRPr="00174CE2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 xml:space="preserve">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 xml:space="preserve">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174CE2">
        <w:rPr>
          <w:sz w:val="22"/>
          <w:szCs w:val="22"/>
        </w:rPr>
        <w:t>у</w:t>
      </w:r>
      <w:r w:rsidRPr="00174CE2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174CE2">
        <w:rPr>
          <w:sz w:val="22"/>
          <w:szCs w:val="22"/>
        </w:rPr>
        <w:t>доначисленных</w:t>
      </w:r>
      <w:proofErr w:type="spellEnd"/>
      <w:r w:rsidRPr="00174CE2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>, суммы пени, штрафа по НДС и/или по налогу на пр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 xml:space="preserve">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</w:t>
      </w:r>
      <w:r w:rsidRPr="00174CE2">
        <w:rPr>
          <w:sz w:val="22"/>
          <w:szCs w:val="22"/>
        </w:rPr>
        <w:t>с</w:t>
      </w:r>
      <w:r w:rsidRPr="00174CE2">
        <w:rPr>
          <w:sz w:val="22"/>
          <w:szCs w:val="22"/>
        </w:rPr>
        <w:t>нованиям, указанным в данном пункте настоящего договора.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174CE2">
        <w:rPr>
          <w:sz w:val="22"/>
          <w:szCs w:val="22"/>
        </w:rPr>
        <w:t>р</w:t>
      </w:r>
      <w:r w:rsidRPr="00174CE2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>Обязанность по возмещению имущественных потерь возникает у Поставщика в момент всту</w:t>
      </w:r>
      <w:r w:rsidRPr="00174CE2">
        <w:rPr>
          <w:sz w:val="22"/>
          <w:szCs w:val="22"/>
        </w:rPr>
        <w:t>п</w:t>
      </w:r>
      <w:r w:rsidRPr="00174CE2">
        <w:rPr>
          <w:sz w:val="22"/>
          <w:szCs w:val="22"/>
        </w:rPr>
        <w:t>ления в силу указанных решений налогового органа. Возмещение имущественных потерь осуществл</w:t>
      </w:r>
      <w:r w:rsidRPr="00174CE2">
        <w:rPr>
          <w:sz w:val="22"/>
          <w:szCs w:val="22"/>
        </w:rPr>
        <w:t>я</w:t>
      </w:r>
      <w:r w:rsidRPr="00174CE2">
        <w:rPr>
          <w:sz w:val="22"/>
          <w:szCs w:val="22"/>
        </w:rPr>
        <w:t xml:space="preserve">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 xml:space="preserve">. Поставщик обязан в течение 10 календарных дней </w:t>
      </w:r>
      <w:proofErr w:type="gramStart"/>
      <w:r w:rsidRPr="00174CE2">
        <w:rPr>
          <w:sz w:val="22"/>
          <w:szCs w:val="22"/>
        </w:rPr>
        <w:t>с даты получения</w:t>
      </w:r>
      <w:proofErr w:type="gramEnd"/>
      <w:r w:rsidRPr="00174CE2">
        <w:rPr>
          <w:sz w:val="22"/>
          <w:szCs w:val="22"/>
        </w:rPr>
        <w:t xml:space="preserve"> требования уплатить сумму возмещения потерь Покупателю в полном объеме.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931394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174CE2">
        <w:rPr>
          <w:rFonts w:ascii="Times New Roman" w:eastAsia="Times New Roman" w:hAnsi="Times New Roman"/>
          <w:lang w:eastAsia="ru-RU"/>
        </w:rPr>
        <w:t>е</w:t>
      </w:r>
      <w:r w:rsidRPr="00174CE2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174CE2">
        <w:rPr>
          <w:rFonts w:ascii="Times New Roman" w:eastAsia="Times New Roman" w:hAnsi="Times New Roman"/>
          <w:lang w:eastAsia="ru-RU"/>
        </w:rPr>
        <w:t>т</w:t>
      </w:r>
      <w:r w:rsidRPr="00174CE2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174CE2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174CE2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174CE2">
        <w:rPr>
          <w:rFonts w:ascii="Times New Roman" w:eastAsia="Times New Roman" w:hAnsi="Times New Roman"/>
          <w:lang w:eastAsia="ru-RU"/>
        </w:rPr>
        <w:t>о</w:t>
      </w:r>
      <w:r w:rsidRPr="00174CE2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096946">
        <w:rPr>
          <w:rFonts w:ascii="Times New Roman" w:eastAsia="Times New Roman" w:hAnsi="Times New Roman"/>
          <w:lang w:eastAsia="ru-RU"/>
        </w:rPr>
        <w:t>10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 w:rsidR="00096946">
        <w:rPr>
          <w:rFonts w:ascii="Times New Roman" w:eastAsia="Times New Roman" w:hAnsi="Times New Roman"/>
          <w:lang w:eastAsia="ru-RU"/>
        </w:rPr>
        <w:t>декабря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 w:rsidR="00096946">
        <w:rPr>
          <w:rFonts w:ascii="Times New Roman" w:eastAsia="Times New Roman" w:hAnsi="Times New Roman"/>
          <w:lang w:eastAsia="ru-RU"/>
        </w:rPr>
        <w:t>5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174CE2">
        <w:rPr>
          <w:rFonts w:ascii="Times New Roman" w:eastAsia="Times New Roman" w:hAnsi="Times New Roman"/>
          <w:lang w:eastAsia="ru-RU"/>
        </w:rPr>
        <w:t>у</w:t>
      </w:r>
      <w:r w:rsidRPr="00174CE2">
        <w:rPr>
          <w:rFonts w:ascii="Times New Roman" w:eastAsia="Times New Roman" w:hAnsi="Times New Roman"/>
          <w:lang w:eastAsia="ru-RU"/>
        </w:rPr>
        <w:lastRenderedPageBreak/>
        <w:t>чения соответствующих оригиналов документов.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B01286" w:rsidRDefault="00157B61" w:rsidP="00157B61">
      <w:pPr>
        <w:widowControl w:val="0"/>
        <w:spacing w:after="0"/>
        <w:rPr>
          <w:b/>
          <w:sz w:val="22"/>
          <w:szCs w:val="22"/>
        </w:rPr>
      </w:pPr>
    </w:p>
    <w:p w:rsidR="00157B61" w:rsidRPr="00B01286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174CE2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157B61" w:rsidRPr="00174CE2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</w:t>
            </w:r>
            <w:r w:rsidRPr="00174CE2">
              <w:rPr>
                <w:sz w:val="22"/>
                <w:szCs w:val="22"/>
              </w:rPr>
              <w:t>в</w:t>
            </w:r>
            <w:r w:rsidRPr="00174CE2">
              <w:rPr>
                <w:sz w:val="22"/>
                <w:szCs w:val="22"/>
              </w:rPr>
              <w:t>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174CE2">
              <w:rPr>
                <w:sz w:val="22"/>
                <w:szCs w:val="22"/>
              </w:rPr>
              <w:t>р</w:t>
            </w:r>
            <w:proofErr w:type="gramEnd"/>
            <w:r w:rsidRPr="00174CE2">
              <w:rPr>
                <w:sz w:val="22"/>
                <w:szCs w:val="22"/>
              </w:rPr>
              <w:t>/с:     40702810509590000018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157B61" w:rsidRPr="00174CE2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/                      /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193879049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534E730" wp14:editId="1995FC5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9A7FCE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84550C">
              <w:rPr>
                <w:spacing w:val="-6"/>
              </w:rPr>
              <w:t xml:space="preserve">на поставку железобетонных опор </w:t>
            </w:r>
            <w:r w:rsidRPr="009A7FCE">
              <w:rPr>
                <w:spacing w:val="-6"/>
              </w:rPr>
              <w:t>СВ-</w:t>
            </w:r>
            <w:r w:rsidR="0023612B">
              <w:rPr>
                <w:spacing w:val="-6"/>
              </w:rPr>
              <w:t>95</w:t>
            </w:r>
            <w:r w:rsidR="004A7610">
              <w:rPr>
                <w:spacing w:val="-6"/>
              </w:rPr>
              <w:t>-</w:t>
            </w:r>
            <w:r w:rsidR="0023612B">
              <w:rPr>
                <w:spacing w:val="-6"/>
              </w:rPr>
              <w:t>3</w:t>
            </w:r>
            <w:r w:rsidRPr="0084550C">
              <w:rPr>
                <w:spacing w:val="-6"/>
              </w:rPr>
              <w:t xml:space="preserve"> для ООО «ОЭСК»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157B61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B01286">
        <w:rPr>
          <w:b/>
          <w:szCs w:val="22"/>
        </w:rPr>
        <w:t>Железобетонные опоры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157B61" w:rsidP="0023612B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Железобетонная стойка СВ-</w:t>
            </w:r>
            <w:r w:rsidR="0023612B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>-</w:t>
            </w:r>
            <w:r w:rsidR="0023612B">
              <w:rPr>
                <w:sz w:val="22"/>
                <w:szCs w:val="22"/>
              </w:rPr>
              <w:t>3</w:t>
            </w:r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157B61" w:rsidP="009D2C8D">
            <w:pPr>
              <w:jc w:val="center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шт.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7A1528" w:rsidP="009472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 xml:space="preserve">: Кемеровская область, г. </w:t>
      </w:r>
      <w:r w:rsidR="008669ED">
        <w:rPr>
          <w:szCs w:val="22"/>
        </w:rPr>
        <w:t>Кемерово</w:t>
      </w:r>
      <w:r w:rsidRPr="00B01286">
        <w:rPr>
          <w:szCs w:val="22"/>
        </w:rPr>
        <w:t xml:space="preserve">, </w:t>
      </w:r>
      <w:r w:rsidR="008669ED">
        <w:rPr>
          <w:szCs w:val="22"/>
        </w:rPr>
        <w:t>СНТ «Наука» и СНТ «Заря»</w:t>
      </w:r>
      <w:r w:rsidRPr="00B01286">
        <w:rPr>
          <w:szCs w:val="22"/>
        </w:rPr>
        <w:t>.</w:t>
      </w:r>
    </w:p>
    <w:p w:rsid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 xml:space="preserve">Поставщик осуществляет доставку </w:t>
      </w:r>
      <w:r w:rsidR="009E6BB2">
        <w:rPr>
          <w:szCs w:val="22"/>
        </w:rPr>
        <w:t xml:space="preserve">и разгрузку </w:t>
      </w:r>
      <w:r w:rsidR="00047AD4" w:rsidRPr="00047AD4">
        <w:rPr>
          <w:szCs w:val="22"/>
        </w:rPr>
        <w:t>товара за свой счет, и несет все гарантийные обязательства во время доставки данного товара до пункта назначения Заказчика.</w:t>
      </w:r>
    </w:p>
    <w:p w:rsidR="00E4186C" w:rsidRDefault="00E4186C" w:rsidP="00E4186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E4186C">
        <w:rPr>
          <w:szCs w:val="22"/>
        </w:rPr>
        <w:t>Заказ товара</w:t>
      </w:r>
      <w:r>
        <w:rPr>
          <w:szCs w:val="22"/>
        </w:rPr>
        <w:t xml:space="preserve"> и его поставка</w:t>
      </w:r>
      <w:r w:rsidRPr="00E4186C">
        <w:rPr>
          <w:szCs w:val="22"/>
        </w:rPr>
        <w:t xml:space="preserve"> не определяется никакими граф</w:t>
      </w:r>
      <w:bookmarkStart w:id="41" w:name="_GoBack"/>
      <w:bookmarkEnd w:id="41"/>
      <w:r w:rsidRPr="00E4186C">
        <w:rPr>
          <w:szCs w:val="22"/>
        </w:rPr>
        <w:t xml:space="preserve">иками, а только по запросу </w:t>
      </w:r>
      <w:r>
        <w:rPr>
          <w:szCs w:val="22"/>
        </w:rPr>
        <w:t>З</w:t>
      </w:r>
      <w:r w:rsidRPr="00E4186C">
        <w:rPr>
          <w:szCs w:val="22"/>
        </w:rPr>
        <w:t>ака</w:t>
      </w:r>
      <w:r w:rsidR="00EF7CDE">
        <w:rPr>
          <w:szCs w:val="22"/>
        </w:rPr>
        <w:t>з</w:t>
      </w:r>
      <w:r w:rsidRPr="00E4186C">
        <w:rPr>
          <w:szCs w:val="22"/>
        </w:rPr>
        <w:t>ч</w:t>
      </w:r>
      <w:r w:rsidR="00EF7CDE">
        <w:rPr>
          <w:szCs w:val="22"/>
        </w:rPr>
        <w:t>и</w:t>
      </w:r>
      <w:r w:rsidRPr="00E4186C">
        <w:rPr>
          <w:szCs w:val="22"/>
        </w:rPr>
        <w:t>к</w:t>
      </w:r>
      <w:r>
        <w:rPr>
          <w:szCs w:val="22"/>
        </w:rPr>
        <w:t>а</w:t>
      </w:r>
      <w:r w:rsidRPr="00E4186C">
        <w:rPr>
          <w:szCs w:val="22"/>
        </w:rPr>
        <w:t>.</w:t>
      </w:r>
      <w:r>
        <w:rPr>
          <w:szCs w:val="22"/>
        </w:rPr>
        <w:t xml:space="preserve"> Данный товар может быть не выбран на всю сумму контракта</w:t>
      </w:r>
      <w:r w:rsidR="00D11555">
        <w:rPr>
          <w:szCs w:val="22"/>
        </w:rPr>
        <w:t>,</w:t>
      </w:r>
      <w:r>
        <w:rPr>
          <w:szCs w:val="22"/>
        </w:rPr>
        <w:t xml:space="preserve"> а определяется потребностями и объемами Заказчика.</w:t>
      </w:r>
      <w:r w:rsidR="009E6BB2">
        <w:rPr>
          <w:szCs w:val="22"/>
        </w:rPr>
        <w:t xml:space="preserve"> Товар может быть заказан как от одной штуки</w:t>
      </w:r>
      <w:r w:rsidR="00D11555">
        <w:rPr>
          <w:szCs w:val="22"/>
        </w:rPr>
        <w:t>,</w:t>
      </w:r>
      <w:r w:rsidR="009E6BB2">
        <w:rPr>
          <w:szCs w:val="22"/>
        </w:rPr>
        <w:t xml:space="preserve"> так и определенными партиями.</w:t>
      </w:r>
      <w:r w:rsidR="00EF7CDE">
        <w:rPr>
          <w:szCs w:val="22"/>
        </w:rPr>
        <w:t xml:space="preserve"> Склад поставщика с готовой продукцией должен находиться в Кемеровской области.</w:t>
      </w:r>
      <w:r w:rsidR="00D11555">
        <w:rPr>
          <w:szCs w:val="22"/>
        </w:rPr>
        <w:t xml:space="preserve"> И со дня момента заявки Заказчика, товар должен быть доставлен на склад Заказчика в течени</w:t>
      </w:r>
      <w:proofErr w:type="gramStart"/>
      <w:r w:rsidR="00D11555">
        <w:rPr>
          <w:szCs w:val="22"/>
        </w:rPr>
        <w:t>и</w:t>
      </w:r>
      <w:proofErr w:type="gramEnd"/>
      <w:r w:rsidR="00D11555">
        <w:rPr>
          <w:szCs w:val="22"/>
        </w:rPr>
        <w:t xml:space="preserve"> 24-х часов.</w:t>
      </w:r>
    </w:p>
    <w:p w:rsidR="00916A0C" w:rsidRPr="00047AD4" w:rsidRDefault="00916A0C" w:rsidP="00E4186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>
        <w:rPr>
          <w:szCs w:val="22"/>
        </w:rPr>
        <w:tab/>
        <w:t>Поставщик должен являться производителем данной продукции!</w:t>
      </w:r>
    </w:p>
    <w:p w:rsidR="00047AD4" w:rsidRPr="00047AD4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Pr="00047AD4">
        <w:rPr>
          <w:szCs w:val="22"/>
        </w:rPr>
        <w:t>е</w:t>
      </w:r>
      <w:r w:rsidRPr="00047AD4">
        <w:rPr>
          <w:szCs w:val="22"/>
        </w:rPr>
        <w:t xml:space="preserve">ре 100% после выставления счета оплаты «Поставщиком» в течение 5 календарных дней. </w:t>
      </w:r>
    </w:p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.1.В коммерческом предложении должна быть указана цена за одну единицу, согласно наим</w:t>
      </w:r>
      <w:r w:rsidR="00157B61" w:rsidRPr="00B01286">
        <w:rPr>
          <w:sz w:val="22"/>
          <w:szCs w:val="22"/>
        </w:rPr>
        <w:t>е</w:t>
      </w:r>
      <w:r w:rsidR="00157B61"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E4186C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4</w:t>
      </w:r>
      <w:r w:rsidR="00157B61" w:rsidRPr="00B01286">
        <w:rPr>
          <w:sz w:val="22"/>
          <w:szCs w:val="22"/>
        </w:rPr>
        <w:t>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096946">
        <w:rPr>
          <w:sz w:val="22"/>
          <w:szCs w:val="22"/>
        </w:rPr>
        <w:t>5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</w:p>
    <w:p w:rsidR="00157B61" w:rsidRPr="00B01286" w:rsidRDefault="00E4186C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57B61" w:rsidRPr="00B01286">
        <w:rPr>
          <w:rFonts w:ascii="Times New Roman" w:hAnsi="Times New Roman"/>
        </w:rPr>
        <w:t>.4.</w:t>
      </w:r>
      <w:r w:rsidR="00157B61" w:rsidRPr="00B01286">
        <w:t xml:space="preserve"> </w:t>
      </w:r>
      <w:r w:rsidR="00157B61"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E4186C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>Участник конкурса должен обладать необходимыми профессиональными знаниями и оп</w:t>
      </w:r>
      <w:r w:rsidRPr="00E4186C">
        <w:rPr>
          <w:rFonts w:ascii="Times New Roman" w:hAnsi="Times New Roman"/>
        </w:rPr>
        <w:t>ы</w:t>
      </w:r>
      <w:r w:rsidRPr="00E4186C">
        <w:rPr>
          <w:rFonts w:ascii="Times New Roman" w:hAnsi="Times New Roman"/>
        </w:rPr>
        <w:t>том, управленческой компетентностью, опытом и репутацией, иметь ресурсные возможн</w:t>
      </w:r>
      <w:r w:rsidRPr="00E4186C">
        <w:rPr>
          <w:rFonts w:ascii="Times New Roman" w:hAnsi="Times New Roman"/>
        </w:rPr>
        <w:t>о</w:t>
      </w:r>
      <w:r w:rsidRPr="00E4186C">
        <w:rPr>
          <w:rFonts w:ascii="Times New Roman" w:hAnsi="Times New Roman"/>
        </w:rPr>
        <w:t>сти (финансовые, материально-технические, производственные, трудовые);</w:t>
      </w:r>
    </w:p>
    <w:p w:rsidR="00E4186C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157B61" w:rsidRPr="00E4186C" w:rsidRDefault="00157B61" w:rsidP="00E4186C">
      <w:pPr>
        <w:pStyle w:val="afff3"/>
        <w:numPr>
          <w:ilvl w:val="1"/>
          <w:numId w:val="23"/>
        </w:numPr>
        <w:rPr>
          <w:rFonts w:ascii="Times New Roman" w:hAnsi="Times New Roman"/>
        </w:rPr>
      </w:pPr>
      <w:r w:rsidRPr="00E4186C">
        <w:rPr>
          <w:rFonts w:ascii="Times New Roman" w:hAnsi="Times New Roman"/>
        </w:rPr>
        <w:t>Участник конкурса должен предоставить: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говор поставки продукции, являющейся предметом Закупки, между Участником и изгот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вителем; </w:t>
      </w:r>
    </w:p>
    <w:p w:rsidR="00E4186C" w:rsidRDefault="00157B61" w:rsidP="00E4186C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157B61" w:rsidRPr="00E4186C" w:rsidRDefault="00E4186C" w:rsidP="00E4186C">
      <w:pPr>
        <w:pStyle w:val="afff3"/>
        <w:ind w:left="709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5.4 </w:t>
      </w:r>
      <w:r w:rsidR="00157B61" w:rsidRPr="00E4186C">
        <w:rPr>
          <w:rFonts w:ascii="Times New Roman" w:hAnsi="Times New Roman"/>
        </w:rPr>
        <w:t>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157B61" w:rsidRPr="00B01286" w:rsidRDefault="00E4186C" w:rsidP="00E4186C">
      <w:pPr>
        <w:pStyle w:val="afff3"/>
        <w:ind w:hanging="1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157B61" w:rsidRPr="00B01286">
        <w:rPr>
          <w:rFonts w:ascii="Times New Roman" w:hAnsi="Times New Roman"/>
        </w:rPr>
        <w:t>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</w:t>
      </w:r>
      <w:r w:rsidR="00157B61" w:rsidRPr="00B01286">
        <w:rPr>
          <w:rFonts w:ascii="Times New Roman" w:hAnsi="Times New Roman"/>
        </w:rPr>
        <w:t>о</w:t>
      </w:r>
      <w:r w:rsidR="00157B61" w:rsidRPr="00B01286">
        <w:rPr>
          <w:rFonts w:ascii="Times New Roman" w:hAnsi="Times New Roman"/>
        </w:rPr>
        <w:t>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 w:rsidR="00096946">
        <w:rPr>
          <w:spacing w:val="-10"/>
          <w:sz w:val="22"/>
          <w:szCs w:val="22"/>
        </w:rPr>
        <w:t>Н.А. Ширяев</w:t>
      </w: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570" w:rsidRDefault="009D2570">
      <w:r>
        <w:separator/>
      </w:r>
    </w:p>
  </w:endnote>
  <w:endnote w:type="continuationSeparator" w:id="0">
    <w:p w:rsidR="009D2570" w:rsidRDefault="009D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570" w:rsidRDefault="009D2570">
      <w:r>
        <w:separator/>
      </w:r>
    </w:p>
  </w:footnote>
  <w:footnote w:type="continuationSeparator" w:id="0">
    <w:p w:rsidR="009D2570" w:rsidRDefault="009D2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70" w:rsidRPr="00A80EBF" w:rsidRDefault="009D2570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7A1528">
      <w:rPr>
        <w:sz w:val="20"/>
      </w:rPr>
      <w:t>18</w:t>
    </w:r>
    <w:r w:rsidRPr="00A80EBF">
      <w:rPr>
        <w:sz w:val="20"/>
      </w:rPr>
      <w:fldChar w:fldCharType="end"/>
    </w:r>
  </w:p>
  <w:p w:rsidR="009D2570" w:rsidRDefault="009D2570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70" w:rsidRDefault="009D2570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9D2570" w:rsidRDefault="009D2570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70" w:rsidRPr="00A80EBF" w:rsidRDefault="009D2570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7A1528">
      <w:rPr>
        <w:sz w:val="20"/>
      </w:rPr>
      <w:t>26</w:t>
    </w:r>
    <w:r w:rsidRPr="00A80EBF">
      <w:rPr>
        <w:sz w:val="20"/>
      </w:rPr>
      <w:fldChar w:fldCharType="end"/>
    </w:r>
  </w:p>
  <w:p w:rsidR="009D2570" w:rsidRDefault="009D2570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70" w:rsidRPr="00110B92" w:rsidRDefault="009D2570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7A1528">
      <w:rPr>
        <w:sz w:val="20"/>
      </w:rPr>
      <w:t>38</w:t>
    </w:r>
    <w:r w:rsidRPr="00110B92">
      <w:rPr>
        <w:sz w:val="20"/>
      </w:rPr>
      <w:fldChar w:fldCharType="end"/>
    </w:r>
  </w:p>
  <w:p w:rsidR="009D2570" w:rsidRDefault="009D2570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2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7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21"/>
  </w:num>
  <w:num w:numId="6">
    <w:abstractNumId w:val="4"/>
  </w:num>
  <w:num w:numId="7">
    <w:abstractNumId w:val="5"/>
  </w:num>
  <w:num w:numId="8">
    <w:abstractNumId w:val="20"/>
  </w:num>
  <w:num w:numId="9">
    <w:abstractNumId w:val="19"/>
  </w:num>
  <w:num w:numId="10">
    <w:abstractNumId w:val="15"/>
  </w:num>
  <w:num w:numId="11">
    <w:abstractNumId w:val="10"/>
  </w:num>
  <w:num w:numId="12">
    <w:abstractNumId w:val="1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2"/>
  </w:num>
  <w:num w:numId="17">
    <w:abstractNumId w:val="16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7"/>
  </w:num>
  <w:num w:numId="21">
    <w:abstractNumId w:val="8"/>
  </w:num>
  <w:num w:numId="22">
    <w:abstractNumId w:val="10"/>
    <w:lvlOverride w:ilvl="0">
      <w:startOverride w:val="5"/>
    </w:lvlOverride>
  </w:num>
  <w:num w:numId="2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1025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4CEB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6946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3257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4E0"/>
    <w:rsid w:val="00213A9A"/>
    <w:rsid w:val="00215101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1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0624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A7610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6E04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1528"/>
    <w:rsid w:val="007A22B1"/>
    <w:rsid w:val="007A4A09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669ED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60E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4F36"/>
    <w:rsid w:val="00916A0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47261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A7FCE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570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E6BB2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1555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10A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186C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EF7CDE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94CDF-4CDF-4114-A809-F42D63D7E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39</Pages>
  <Words>9216</Words>
  <Characters>69514</Characters>
  <Application>Microsoft Office Word</Application>
  <DocSecurity>0</DocSecurity>
  <Lines>579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78573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56</cp:revision>
  <cp:lastPrinted>2025-04-01T01:49:00Z</cp:lastPrinted>
  <dcterms:created xsi:type="dcterms:W3CDTF">2019-07-11T08:24:00Z</dcterms:created>
  <dcterms:modified xsi:type="dcterms:W3CDTF">2025-04-02T01:34:00Z</dcterms:modified>
</cp:coreProperties>
</file>